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98" w:rightFromText="198" w:vertAnchor="page" w:horzAnchor="margin" w:tblpY="11759"/>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7529AC">
        <w:tc>
          <w:tcPr>
            <w:tcW w:w="2410" w:type="dxa"/>
            <w:shd w:val="clear" w:color="auto" w:fill="auto"/>
          </w:tcPr>
          <w:p w14:paraId="0D22A7DF" w14:textId="7F624ACE" w:rsidR="00F53EE2" w:rsidRPr="009D0644" w:rsidRDefault="00F53EE2" w:rsidP="007529AC">
            <w:pPr>
              <w:pStyle w:val="IPR61Citation"/>
              <w:spacing w:after="120" w:line="240" w:lineRule="exact"/>
              <w:rPr>
                <w:rFonts w:cs="Times New Roman"/>
              </w:rPr>
            </w:pPr>
            <w:r w:rsidRPr="009D0644">
              <w:rPr>
                <w:rFonts w:cs="Times New Roman"/>
                <w:b/>
              </w:rPr>
              <w:t xml:space="preserve">Citation: </w:t>
            </w:r>
            <w:r w:rsidRPr="009D0644">
              <w:rPr>
                <w:rFonts w:cs="Times New Roman"/>
              </w:rPr>
              <w:t>To be added by editorial staff during production.</w:t>
            </w:r>
          </w:p>
          <w:p w14:paraId="058EC1A0" w14:textId="77777777" w:rsidR="00F53EE2" w:rsidRPr="009D0644" w:rsidRDefault="00F53EE2" w:rsidP="007529AC">
            <w:pPr>
              <w:pStyle w:val="IPR15academiceditor"/>
              <w:spacing w:after="120"/>
            </w:pPr>
            <w:r w:rsidRPr="009D0644">
              <w:t xml:space="preserve">Academic Editor: </w:t>
            </w:r>
            <w:proofErr w:type="spellStart"/>
            <w:r w:rsidRPr="009D0644">
              <w:t>Firstname</w:t>
            </w:r>
            <w:proofErr w:type="spellEnd"/>
            <w:r w:rsidRPr="009D0644">
              <w:t xml:space="preserve"> Lastname</w:t>
            </w:r>
          </w:p>
          <w:p w14:paraId="50A6BFA9" w14:textId="1C9ACCDD" w:rsidR="00F53EE2" w:rsidRPr="009D0644" w:rsidRDefault="00F53EE2" w:rsidP="007529AC">
            <w:pPr>
              <w:pStyle w:val="IPR14history"/>
              <w:spacing w:before="120"/>
            </w:pPr>
          </w:p>
          <w:p w14:paraId="28139A80" w14:textId="1B656E19" w:rsidR="00F53EE2" w:rsidRPr="009D0644" w:rsidRDefault="00F53EE2" w:rsidP="007529AC">
            <w:pPr>
              <w:pStyle w:val="IPR14history"/>
            </w:pPr>
          </w:p>
          <w:p w14:paraId="131AEDC1" w14:textId="4178FC51" w:rsidR="00F53EE2" w:rsidRPr="009D0644" w:rsidRDefault="00F53EE2" w:rsidP="007529AC">
            <w:pPr>
              <w:pStyle w:val="IPR14history"/>
            </w:pPr>
          </w:p>
          <w:p w14:paraId="0B1FC302" w14:textId="3271777C" w:rsidR="00F53EE2" w:rsidRPr="009D0644" w:rsidRDefault="00F53EE2" w:rsidP="007529AC">
            <w:pPr>
              <w:pStyle w:val="IPR14history"/>
              <w:spacing w:after="120"/>
            </w:pPr>
          </w:p>
          <w:p w14:paraId="5C88D88D" w14:textId="77777777" w:rsidR="00F53EE2" w:rsidRPr="009D0644" w:rsidRDefault="00F53EE2" w:rsidP="007529AC">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3B3968BF" w:rsidR="00BD6698" w:rsidRPr="00E968C3" w:rsidRDefault="00F53EE2" w:rsidP="007529AC">
            <w:pPr>
              <w:pStyle w:val="IPR72Copyright"/>
              <w:rPr>
                <w:rFonts w:eastAsia="DengXian"/>
                <w:lang w:bidi="en-US"/>
              </w:rPr>
            </w:pPr>
            <w:r w:rsidRPr="009D0644">
              <w:rPr>
                <w:rFonts w:eastAsia="DengXian"/>
                <w:b/>
                <w:lang w:bidi="en-US"/>
              </w:rPr>
              <w:t>Copyright:</w:t>
            </w:r>
            <w:r w:rsidRPr="009D0644">
              <w:rPr>
                <w:rFonts w:eastAsia="DengXian"/>
                <w:lang w:bidi="en-US"/>
              </w:rPr>
              <w:t xml:space="preserve"> </w:t>
            </w:r>
            <w:r w:rsidRPr="007529AC">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4C7F8D09" w14:textId="00F870D5" w:rsidR="00C04138" w:rsidRPr="00367B0F" w:rsidRDefault="00C04138" w:rsidP="001F47C5">
      <w:pPr>
        <w:pStyle w:val="IPR11articletype"/>
      </w:pPr>
      <w:r w:rsidRPr="00367B0F">
        <w:t>Article</w:t>
      </w:r>
      <w:r w:rsidR="00F156CE" w:rsidRPr="00367B0F">
        <w:t>/Review Paper</w:t>
      </w:r>
    </w:p>
    <w:p w14:paraId="6FA81DA7" w14:textId="5E29D552" w:rsidR="00B21D35" w:rsidRPr="00E968C3" w:rsidRDefault="00D1124A" w:rsidP="00B21D35">
      <w:pPr>
        <w:pStyle w:val="IPR12title"/>
      </w:pPr>
      <w:r>
        <w:t>Title (18 pts- Time New Roman) Spacing After = 12 pt &amp; Line Spacing (At least = 12 pt)</w:t>
      </w:r>
    </w:p>
    <w:p w14:paraId="7B37E6C0" w14:textId="63BCED85" w:rsidR="003F2108" w:rsidRPr="00E968C3" w:rsidRDefault="00D57DA2" w:rsidP="00B9158B">
      <w:pPr>
        <w:pStyle w:val="IPR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0463B5">
      <w:pPr>
        <w:pStyle w:val="IPR16affiliation"/>
      </w:pPr>
      <w:r w:rsidRPr="007A7A81">
        <w:t>1</w:t>
      </w:r>
      <w:r w:rsidR="000463B5">
        <w:t xml:space="preserve"> </w:t>
      </w:r>
      <w:r w:rsidRPr="00D945EC">
        <w:tab/>
        <w:t>Affiliation 1; e-mail@e-mail.com</w:t>
      </w:r>
    </w:p>
    <w:p w14:paraId="02A53FB2" w14:textId="6C22936C" w:rsidR="007A7A81" w:rsidRPr="00D945EC" w:rsidRDefault="007A7A81" w:rsidP="000463B5">
      <w:pPr>
        <w:pStyle w:val="IPR16affiliation"/>
      </w:pPr>
      <w:r w:rsidRPr="007A7A81">
        <w:t>2</w:t>
      </w:r>
      <w:r w:rsidR="000463B5">
        <w:t xml:space="preserve"> </w:t>
      </w:r>
      <w:r w:rsidRPr="00D945EC">
        <w:tab/>
        <w:t xml:space="preserve">Affiliation 2; </w:t>
      </w:r>
      <w:hyperlink r:id="rId9" w:history="1">
        <w:r w:rsidR="000463B5" w:rsidRPr="000463B5">
          <w:t>e-mail@e-mail.com</w:t>
        </w:r>
      </w:hyperlink>
    </w:p>
    <w:p w14:paraId="1889446B" w14:textId="209CD549" w:rsidR="007A7A81" w:rsidRPr="007A7A81" w:rsidRDefault="007A7A81" w:rsidP="000463B5">
      <w:pPr>
        <w:pStyle w:val="IPR16affiliation"/>
        <w:numPr>
          <w:ilvl w:val="0"/>
          <w:numId w:val="49"/>
        </w:numPr>
        <w:ind w:left="2808" w:hanging="202"/>
      </w:pPr>
      <w:r w:rsidRPr="007A7A81">
        <w:t>Correspondence: e-mail@e-mail.com; Tel.: (optional; include country code; if there are multiple corresponding authors, add author initials)</w:t>
      </w:r>
    </w:p>
    <w:p w14:paraId="3FDF889B" w14:textId="39BDA225" w:rsidR="00D3142E" w:rsidRPr="00D3142E" w:rsidRDefault="00C04138" w:rsidP="00D3142E">
      <w:pPr>
        <w:pStyle w:val="IPR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05E5A848" w14:textId="702CB839" w:rsidR="00C04138" w:rsidRDefault="00C04138" w:rsidP="00E61D3C">
      <w:pPr>
        <w:pStyle w:val="IPR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IPR19line"/>
        <w:rPr>
          <w:rFonts w:cs="Times New Roman"/>
        </w:rPr>
      </w:pPr>
    </w:p>
    <w:p w14:paraId="3CB45AAC" w14:textId="212A96AB" w:rsidR="00C04138" w:rsidRPr="00E968C3" w:rsidRDefault="00C04138" w:rsidP="00F53EE2">
      <w:pPr>
        <w:pStyle w:val="IPR21heading1"/>
      </w:pPr>
      <w:r w:rsidRPr="0096113C">
        <w:t>Introduction</w:t>
      </w:r>
    </w:p>
    <w:p w14:paraId="39A0A508" w14:textId="77777777" w:rsidR="0096113C" w:rsidRPr="000243F4" w:rsidRDefault="0096113C" w:rsidP="000243F4">
      <w:pPr>
        <w:pStyle w:val="IPR31Firstpagetext"/>
      </w:pPr>
      <w:r w:rsidRPr="000243F4">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particular field of research. All the references mentioned in the text should be cited in the “Author-Date” format—e.g., (Baranwal and Munteanu [1921] 1955), (Berry and Smith 1999), (Cojocaru et al. 1999) or Driver et al. (2000). See the end of the document for further details on references.</w:t>
      </w:r>
    </w:p>
    <w:p w14:paraId="2B863976" w14:textId="64518692" w:rsidR="00190A93" w:rsidRPr="00393603" w:rsidRDefault="00190A93" w:rsidP="00F53EE2">
      <w:pPr>
        <w:pStyle w:val="IPR21heading1"/>
      </w:pPr>
      <w:r w:rsidRPr="00393603">
        <w:t>Methods</w:t>
      </w:r>
    </w:p>
    <w:p w14:paraId="7692CF41" w14:textId="77777777" w:rsidR="00566967" w:rsidRDefault="00566967" w:rsidP="00570FA4">
      <w:pPr>
        <w:pStyle w:val="IPR31Firstpagetext"/>
      </w:pPr>
      <w:r>
        <w:t>The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IPR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pStyle w:val="IPR21heading1"/>
        <w:numPr>
          <w:ilvl w:val="0"/>
          <w:numId w:val="0"/>
        </w:numPr>
        <w:ind w:left="2606"/>
      </w:pPr>
      <w:r>
        <w:t xml:space="preserve">3. </w:t>
      </w:r>
      <w:r w:rsidRPr="00190A93">
        <w:t>Findings</w:t>
      </w:r>
    </w:p>
    <w:p w14:paraId="677ADE13" w14:textId="77777777" w:rsidR="00316D89" w:rsidRDefault="00316D89" w:rsidP="005A1CD0">
      <w:pPr>
        <w:pStyle w:val="IPR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IPR22heading2"/>
      </w:pPr>
      <w:r>
        <w:t>3</w:t>
      </w:r>
      <w:r w:rsidRPr="00190A93">
        <w:t>.1. Subsection</w:t>
      </w:r>
    </w:p>
    <w:p w14:paraId="5D95AC73" w14:textId="77777777" w:rsidR="00316D89" w:rsidRDefault="00316D89" w:rsidP="00C956E7">
      <w:pPr>
        <w:pStyle w:val="IPR23heading3"/>
      </w:pPr>
      <w:r>
        <w:t>3.1.1. Subsubsection</w:t>
      </w:r>
    </w:p>
    <w:p w14:paraId="5205A566" w14:textId="77777777" w:rsidR="00316D89" w:rsidRDefault="00316D89" w:rsidP="00E87A6B">
      <w:pPr>
        <w:pStyle w:val="IPR35textbeforelist"/>
      </w:pPr>
      <w:r>
        <w:t>Bulleted lists look like this:</w:t>
      </w:r>
    </w:p>
    <w:p w14:paraId="3DA709EE" w14:textId="0ED37C7E" w:rsidR="00316D89" w:rsidRDefault="00960098" w:rsidP="00960098">
      <w:pPr>
        <w:pStyle w:val="IPR38bullet"/>
      </w:pPr>
      <w:r>
        <w:t xml:space="preserve"> </w:t>
      </w:r>
      <w:r>
        <w:tab/>
      </w:r>
      <w:r w:rsidR="00316D89">
        <w:t>First bullet;</w:t>
      </w:r>
    </w:p>
    <w:p w14:paraId="4C34BB10" w14:textId="625BB434" w:rsidR="00316D89" w:rsidRDefault="00960098" w:rsidP="003E46BB">
      <w:pPr>
        <w:pStyle w:val="IPR38bullet"/>
      </w:pPr>
      <w:r>
        <w:t xml:space="preserve"> </w:t>
      </w:r>
      <w:r w:rsidR="00316D89">
        <w:t>Second bullet;</w:t>
      </w:r>
    </w:p>
    <w:p w14:paraId="1DF93938" w14:textId="77777777" w:rsidR="00316D89" w:rsidRDefault="00316D89" w:rsidP="00557E33">
      <w:pPr>
        <w:pStyle w:val="IPR38bullet"/>
      </w:pPr>
      <w:r>
        <w:lastRenderedPageBreak/>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IPR37itemize"/>
      </w:pPr>
      <w:r>
        <w:t>First item;</w:t>
      </w:r>
    </w:p>
    <w:p w14:paraId="312AC99A" w14:textId="77777777" w:rsidR="00316D89" w:rsidRDefault="00316D89" w:rsidP="00D353B5">
      <w:pPr>
        <w:pStyle w:val="IPR37itemize"/>
      </w:pPr>
      <w:r>
        <w:t>Second item;</w:t>
      </w:r>
    </w:p>
    <w:p w14:paraId="5184F4CF" w14:textId="77777777" w:rsidR="00316D89" w:rsidRDefault="00316D89" w:rsidP="00D353B5">
      <w:pPr>
        <w:pStyle w:val="IPR37itemize"/>
      </w:pPr>
      <w:r>
        <w:t>Third item.</w:t>
      </w:r>
    </w:p>
    <w:p w14:paraId="74B07732" w14:textId="77777777" w:rsidR="00316D89" w:rsidRDefault="00316D89" w:rsidP="00570FA4">
      <w:pPr>
        <w:pStyle w:val="IPR36textafterlist"/>
      </w:pPr>
      <w:r>
        <w:t>The text continues here.</w:t>
      </w:r>
    </w:p>
    <w:p w14:paraId="0E6E9A23" w14:textId="77777777" w:rsidR="001D0D0E" w:rsidRDefault="001D0D0E" w:rsidP="001D0D0E">
      <w:pPr>
        <w:pStyle w:val="IPR22heading2"/>
      </w:pPr>
      <w:r>
        <w:t>3.2. Figures, Tables and Schemes</w:t>
      </w:r>
    </w:p>
    <w:p w14:paraId="441BDE32" w14:textId="77777777" w:rsidR="001D0D0E" w:rsidRDefault="001D0D0E" w:rsidP="001D0D0E">
      <w:pPr>
        <w:pStyle w:val="IPRtextnoindent"/>
      </w:pPr>
      <w:r>
        <w:t>All figures and tables should be cited in the main text as Figure 1, Table 1, etc.</w:t>
      </w:r>
    </w:p>
    <w:p w14:paraId="04713D7A" w14:textId="77777777" w:rsidR="00202EDF" w:rsidRDefault="00202EDF" w:rsidP="008E6A06">
      <w:pPr>
        <w:pStyle w:val="IPR42tablebody"/>
      </w:pPr>
    </w:p>
    <w:p w14:paraId="23076EA8" w14:textId="6F2CD53B" w:rsidR="00202EDF" w:rsidRDefault="00202EDF" w:rsidP="00202EDF">
      <w:pPr>
        <w:pStyle w:val="IPR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IPR51figurecaption"/>
      </w:pPr>
      <w:r>
        <w:rPr>
          <w:b/>
        </w:rPr>
        <w:t xml:space="preserve">Figure 1. </w:t>
      </w:r>
      <w:r>
        <w:t>This is a figure. Schemes follow the same formatting.</w:t>
      </w:r>
    </w:p>
    <w:p w14:paraId="1FA0D7C7" w14:textId="77777777" w:rsidR="0098418E" w:rsidRDefault="0098418E" w:rsidP="0098418E">
      <w:pPr>
        <w:pStyle w:val="IPR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IPR43tablefooter"/>
      </w:pPr>
      <w:r>
        <w:rPr>
          <w:vertAlign w:val="superscript"/>
        </w:rPr>
        <w:t>1</w:t>
      </w:r>
      <w:r>
        <w:t xml:space="preserve"> Tables may have a footer.</w:t>
      </w:r>
    </w:p>
    <w:p w14:paraId="30F00B98" w14:textId="77777777" w:rsidR="00D67CDE" w:rsidRDefault="00D67CDE" w:rsidP="00D67CDE">
      <w:pPr>
        <w:pStyle w:val="IPR22heading2"/>
      </w:pPr>
      <w:r>
        <w:t>4. Discussio</w:t>
      </w:r>
      <w:r w:rsidRPr="00EC10FA">
        <w:t>n</w:t>
      </w:r>
    </w:p>
    <w:p w14:paraId="03F9858A" w14:textId="77777777" w:rsidR="00D67CDE" w:rsidRPr="005A1CD0" w:rsidRDefault="00D67CDE" w:rsidP="005A1CD0">
      <w:pPr>
        <w:pStyle w:val="IPR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IPR22heading2"/>
      </w:pPr>
      <w:r>
        <w:t>5. Conclusions</w:t>
      </w:r>
    </w:p>
    <w:p w14:paraId="78D0DE5A" w14:textId="77777777" w:rsidR="00D67CDE" w:rsidRPr="005A1CD0" w:rsidRDefault="00D67CDE" w:rsidP="005A1CD0">
      <w:pPr>
        <w:pStyle w:val="IPR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IPR22heading2"/>
      </w:pPr>
      <w:r>
        <w:t>6. Patents</w:t>
      </w:r>
    </w:p>
    <w:p w14:paraId="6C69C679" w14:textId="157C3379" w:rsidR="00D67CDE" w:rsidRPr="001F42D6" w:rsidRDefault="00D67CDE" w:rsidP="005A1CD0">
      <w:pPr>
        <w:pStyle w:val="IPR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pStyle w:val="IPR21heading1"/>
        <w:numPr>
          <w:ilvl w:val="0"/>
          <w:numId w:val="0"/>
        </w:numPr>
        <w:ind w:left="360"/>
      </w:pPr>
      <w:r w:rsidRPr="00D74401">
        <w:t>References</w:t>
      </w:r>
    </w:p>
    <w:p w14:paraId="715AC118" w14:textId="707C69D3" w:rsidR="000E3D67" w:rsidRPr="000E3D67" w:rsidRDefault="000E3D67" w:rsidP="000E3D67">
      <w:pPr>
        <w:pStyle w:val="IPR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pStyle w:val="IPR21heading1"/>
        <w:numPr>
          <w:ilvl w:val="0"/>
          <w:numId w:val="0"/>
        </w:numPr>
        <w:ind w:left="360"/>
      </w:pPr>
      <w:r>
        <w:t>Sample References</w:t>
      </w:r>
    </w:p>
    <w:p w14:paraId="3A025E0D" w14:textId="14E34260" w:rsidR="00071D18" w:rsidRPr="00E3632C" w:rsidRDefault="00071D18" w:rsidP="005E4FE0">
      <w:pPr>
        <w:pStyle w:val="IPR63Notes"/>
        <w:spacing w:before="0"/>
        <w:ind w:left="432" w:hanging="432"/>
        <w:rPr>
          <w:szCs w:val="18"/>
        </w:rPr>
      </w:pPr>
      <w:proofErr w:type="spellStart"/>
      <w:r w:rsidRPr="00E3632C">
        <w:rPr>
          <w:szCs w:val="18"/>
        </w:rPr>
        <w:t>Abader</w:t>
      </w:r>
      <w:proofErr w:type="spellEnd"/>
      <w:r w:rsidRPr="00E3632C">
        <w:rPr>
          <w:szCs w:val="18"/>
        </w:rPr>
        <w:t>,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A91270">
        <w:rPr>
          <w:szCs w:val="18"/>
        </w:rPr>
        <w:t>Dar Al-Nahda Al-Arabia, Cairo</w:t>
      </w:r>
      <w:r w:rsidR="00C22524" w:rsidRPr="00A91270">
        <w:rPr>
          <w:szCs w:val="18"/>
        </w:rPr>
        <w:t xml:space="preserve">: </w:t>
      </w:r>
      <w:r w:rsidR="009856E7" w:rsidRPr="00A91270">
        <w:rPr>
          <w:szCs w:val="18"/>
        </w:rPr>
        <w:t>Egypt</w:t>
      </w:r>
      <w:r w:rsidRPr="00A91270">
        <w:rPr>
          <w:szCs w:val="18"/>
        </w:rPr>
        <w:t>.</w:t>
      </w:r>
      <w:r w:rsidR="00163D9D" w:rsidRPr="00A91270">
        <w:rPr>
          <w:szCs w:val="18"/>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IPR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IPR63Notes"/>
        <w:spacing w:before="0"/>
        <w:ind w:left="432" w:hanging="432"/>
        <w:rPr>
          <w:szCs w:val="18"/>
        </w:rPr>
      </w:pPr>
      <w:r w:rsidRPr="00E3632C">
        <w:rPr>
          <w:szCs w:val="18"/>
        </w:rPr>
        <w:t>Al-</w:t>
      </w:r>
      <w:r w:rsidR="008607A7" w:rsidRPr="00E3632C">
        <w:t xml:space="preserve"> </w:t>
      </w:r>
      <w:proofErr w:type="spellStart"/>
      <w:r w:rsidR="008607A7" w:rsidRPr="00E3632C">
        <w:t>Areini</w:t>
      </w:r>
      <w:proofErr w:type="spellEnd"/>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w:t>
      </w:r>
      <w:proofErr w:type="spellStart"/>
      <w:r w:rsidRPr="00E3632C">
        <w:rPr>
          <w:szCs w:val="18"/>
        </w:rPr>
        <w:t>Jadeeda</w:t>
      </w:r>
      <w:proofErr w:type="spellEnd"/>
      <w:r w:rsidRPr="00E3632C">
        <w:rPr>
          <w:szCs w:val="18"/>
        </w:rPr>
        <w:t xml:space="preserve">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IPR63Notes"/>
        <w:spacing w:before="0"/>
        <w:ind w:left="432" w:hanging="432"/>
        <w:rPr>
          <w:color w:val="FF0000"/>
          <w:szCs w:val="18"/>
        </w:rPr>
      </w:pPr>
      <w:r w:rsidRPr="00E3632C">
        <w:rPr>
          <w:szCs w:val="18"/>
          <w:lang w:bidi="ar-SA"/>
        </w:rPr>
        <w:t>Al-</w:t>
      </w:r>
      <w:proofErr w:type="spellStart"/>
      <w:r w:rsidRPr="00E3632C">
        <w:rPr>
          <w:szCs w:val="18"/>
          <w:lang w:bidi="ar-SA"/>
        </w:rPr>
        <w:t>Sarayr</w:t>
      </w:r>
      <w:r w:rsidR="00AB6590" w:rsidRPr="00E3632C">
        <w:rPr>
          <w:szCs w:val="18"/>
          <w:lang w:bidi="ar-SA"/>
        </w:rPr>
        <w:t>e</w:t>
      </w:r>
      <w:r w:rsidRPr="00E3632C">
        <w:rPr>
          <w:szCs w:val="18"/>
          <w:lang w:bidi="ar-SA"/>
        </w:rPr>
        <w:t>h</w:t>
      </w:r>
      <w:proofErr w:type="spellEnd"/>
      <w:r w:rsidRPr="00E3632C">
        <w:rPr>
          <w:szCs w:val="18"/>
          <w:lang w:bidi="ar-SA"/>
        </w:rPr>
        <w:t>,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IPR63Notes"/>
        <w:spacing w:before="0"/>
        <w:ind w:left="432" w:hanging="432"/>
        <w:rPr>
          <w:szCs w:val="18"/>
        </w:rPr>
      </w:pPr>
      <w:proofErr w:type="spellStart"/>
      <w:r w:rsidRPr="00E3632C">
        <w:rPr>
          <w:szCs w:val="18"/>
        </w:rPr>
        <w:t>Bahnasawi</w:t>
      </w:r>
      <w:proofErr w:type="spellEnd"/>
      <w:r w:rsidRPr="00E3632C">
        <w:rPr>
          <w:szCs w:val="18"/>
        </w:rPr>
        <w:t>,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IPR63Notes"/>
        <w:spacing w:before="0"/>
        <w:ind w:left="432" w:hanging="432"/>
        <w:rPr>
          <w:szCs w:val="18"/>
        </w:rPr>
      </w:pPr>
      <w:proofErr w:type="spellStart"/>
      <w:r w:rsidRPr="00E3632C">
        <w:rPr>
          <w:szCs w:val="18"/>
        </w:rPr>
        <w:t>Ghanam</w:t>
      </w:r>
      <w:proofErr w:type="spellEnd"/>
      <w:r w:rsidRPr="00E3632C">
        <w:rPr>
          <w:szCs w:val="18"/>
        </w:rPr>
        <w:t>,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proofErr w:type="spellStart"/>
      <w:r w:rsidRPr="00E3632C">
        <w:rPr>
          <w:szCs w:val="18"/>
        </w:rPr>
        <w:t>Matla'at</w:t>
      </w:r>
      <w:proofErr w:type="spellEnd"/>
      <w:r w:rsidRPr="00E3632C">
        <w:rPr>
          <w:szCs w:val="18"/>
        </w:rPr>
        <w:t xml:space="preserve">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IPR63Notes"/>
        <w:spacing w:before="0"/>
        <w:ind w:left="432" w:hanging="432"/>
        <w:rPr>
          <w:szCs w:val="18"/>
        </w:rPr>
      </w:pPr>
      <w:proofErr w:type="spellStart"/>
      <w:r w:rsidRPr="00E3632C">
        <w:rPr>
          <w:szCs w:val="18"/>
        </w:rPr>
        <w:t>Ghatasha</w:t>
      </w:r>
      <w:proofErr w:type="spellEnd"/>
      <w:r w:rsidRPr="00E3632C">
        <w:rPr>
          <w:szCs w:val="18"/>
        </w:rPr>
        <w:t xml:space="preserve">,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IPR63Notes"/>
        <w:spacing w:before="0"/>
        <w:ind w:left="432" w:hanging="432"/>
        <w:rPr>
          <w:color w:val="auto"/>
          <w:szCs w:val="18"/>
        </w:rPr>
      </w:pPr>
      <w:proofErr w:type="spellStart"/>
      <w:r w:rsidRPr="00E3632C">
        <w:rPr>
          <w:color w:val="auto"/>
          <w:szCs w:val="18"/>
        </w:rPr>
        <w:t>Khasawna</w:t>
      </w:r>
      <w:r w:rsidR="00D46889" w:rsidRPr="00E3632C">
        <w:rPr>
          <w:color w:val="auto"/>
          <w:szCs w:val="18"/>
        </w:rPr>
        <w:t>h</w:t>
      </w:r>
      <w:proofErr w:type="spellEnd"/>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IPR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w:t>
      </w:r>
      <w:proofErr w:type="spellStart"/>
      <w:r w:rsidRPr="00E3632C">
        <w:rPr>
          <w:szCs w:val="18"/>
        </w:rPr>
        <w:t>Thaqafah</w:t>
      </w:r>
      <w:proofErr w:type="spellEnd"/>
      <w:r w:rsidRPr="00E3632C">
        <w:rPr>
          <w:szCs w:val="18"/>
        </w:rPr>
        <w:t xml:space="preserve">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Default="00854FD6" w:rsidP="00CB2383">
      <w:pPr>
        <w:pStyle w:val="IPR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p w14:paraId="2F4826EA" w14:textId="77777777" w:rsidR="009F6A7D" w:rsidRDefault="009F6A7D" w:rsidP="009F6A7D">
      <w:pPr>
        <w:pStyle w:val="IPRtextnoindent"/>
      </w:pPr>
    </w:p>
    <w:p w14:paraId="4EED747F" w14:textId="77777777" w:rsidR="003C6C2A" w:rsidRPr="00E3632C" w:rsidRDefault="003C6C2A" w:rsidP="009F6A7D">
      <w:pPr>
        <w:pStyle w:val="IPRtextnoindent"/>
      </w:pPr>
    </w:p>
    <w:sectPr w:rsidR="003C6C2A" w:rsidRPr="00E3632C" w:rsidSect="00DD65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E6AE" w14:textId="77777777" w:rsidR="004A3259" w:rsidRDefault="004A3259">
      <w:pPr>
        <w:spacing w:line="240" w:lineRule="auto"/>
      </w:pPr>
      <w:r>
        <w:separator/>
      </w:r>
    </w:p>
    <w:p w14:paraId="7925507D" w14:textId="77777777" w:rsidR="004A3259" w:rsidRDefault="004A3259"/>
  </w:endnote>
  <w:endnote w:type="continuationSeparator" w:id="0">
    <w:p w14:paraId="0392E844" w14:textId="77777777" w:rsidR="004A3259" w:rsidRDefault="004A3259">
      <w:pPr>
        <w:spacing w:line="240" w:lineRule="auto"/>
      </w:pPr>
      <w:r>
        <w:continuationSeparator/>
      </w:r>
    </w:p>
    <w:p w14:paraId="35E52FDA" w14:textId="77777777" w:rsidR="004A3259" w:rsidRDefault="004A3259"/>
    <w:p w14:paraId="34698C0C" w14:textId="77777777" w:rsidR="004A3259" w:rsidRPr="00A2186F" w:rsidRDefault="004A3259"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D6A9" w14:textId="77777777" w:rsidR="00CE74F0" w:rsidRDefault="00CE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B3AD" w14:textId="40FEE2D3" w:rsidR="004772EA" w:rsidRPr="008C49F1" w:rsidRDefault="004772EA" w:rsidP="004772EA">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181094B5" w:rsidR="004772EA" w:rsidRPr="0093725A" w:rsidRDefault="001C0F22" w:rsidP="004C16CA">
    <w:pPr>
      <w:tabs>
        <w:tab w:val="right" w:pos="10466"/>
      </w:tabs>
      <w:adjustRightInd w:val="0"/>
      <w:snapToGrid w:val="0"/>
      <w:spacing w:line="240" w:lineRule="auto"/>
      <w:rPr>
        <w:sz w:val="16"/>
        <w:szCs w:val="16"/>
        <w:lang w:val="fr-CH"/>
      </w:rPr>
    </w:pPr>
    <w:r>
      <w:rPr>
        <w:i/>
        <w:sz w:val="16"/>
        <w:szCs w:val="16"/>
      </w:rPr>
      <w:t>Intel. Prop. Rig. J</w:t>
    </w:r>
    <w:r w:rsidR="004B2616" w:rsidRPr="0093725A">
      <w:rPr>
        <w:i/>
        <w:sz w:val="16"/>
        <w:szCs w:val="16"/>
      </w:rPr>
      <w:t xml:space="preserve">. </w:t>
    </w:r>
    <w:r w:rsidR="00AC5A87" w:rsidRPr="0093725A">
      <w:rPr>
        <w:b/>
        <w:bCs/>
        <w:iCs/>
        <w:sz w:val="16"/>
        <w:szCs w:val="16"/>
      </w:rPr>
      <w:t>202</w:t>
    </w:r>
    <w:r>
      <w:rPr>
        <w:b/>
        <w:bCs/>
        <w:iCs/>
        <w:sz w:val="16"/>
        <w:szCs w:val="16"/>
      </w:rPr>
      <w:t>4</w:t>
    </w:r>
    <w:r w:rsidR="006A39A1" w:rsidRPr="0093725A">
      <w:rPr>
        <w:bCs/>
        <w:iCs/>
        <w:sz w:val="16"/>
        <w:szCs w:val="16"/>
      </w:rPr>
      <w:t>,</w:t>
    </w:r>
    <w:r w:rsidR="00AC5A87" w:rsidRPr="0093725A">
      <w:rPr>
        <w:bCs/>
        <w:i/>
        <w:iCs/>
        <w:sz w:val="16"/>
        <w:szCs w:val="16"/>
      </w:rPr>
      <w:t xml:space="preserve"> </w:t>
    </w:r>
    <w:r>
      <w:rPr>
        <w:bCs/>
        <w:i/>
        <w:iCs/>
        <w:sz w:val="16"/>
        <w:szCs w:val="16"/>
      </w:rPr>
      <w:t>1</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https://doi.org/10.</w:t>
    </w:r>
    <w:r w:rsidR="004B2616" w:rsidRPr="0093725A">
      <w:t xml:space="preserve"> </w:t>
    </w:r>
    <w:r w:rsidR="004B2616" w:rsidRPr="0093725A">
      <w:rPr>
        <w:bCs/>
        <w:iCs/>
        <w:sz w:val="16"/>
        <w:szCs w:val="16"/>
      </w:rPr>
      <w:t>69971</w:t>
    </w:r>
    <w:r w:rsidR="003622EA" w:rsidRPr="0093725A">
      <w:rPr>
        <w:bCs/>
        <w:iCs/>
        <w:sz w:val="16"/>
        <w:szCs w:val="16"/>
      </w:rPr>
      <w:t>/</w:t>
    </w:r>
    <w:proofErr w:type="spellStart"/>
    <w:r w:rsidR="003622EA" w:rsidRPr="0093725A">
      <w:rPr>
        <w:bCs/>
        <w:iCs/>
        <w:sz w:val="16"/>
        <w:szCs w:val="16"/>
      </w:rPr>
      <w:t>xxxxx</w:t>
    </w:r>
    <w:proofErr w:type="spellEnd"/>
    <w:r w:rsidR="004C16CA" w:rsidRPr="0093725A">
      <w:rPr>
        <w:sz w:val="16"/>
        <w:szCs w:val="16"/>
        <w:lang w:val="fr-CH"/>
      </w:rPr>
      <w:tab/>
    </w:r>
    <w:r w:rsidR="004B2616" w:rsidRPr="0093725A">
      <w:rPr>
        <w:sz w:val="16"/>
        <w:szCs w:val="16"/>
        <w:lang w:val="fr-CH"/>
      </w:rPr>
      <w:t>https://www.</w:t>
    </w:r>
    <w:r>
      <w:rPr>
        <w:sz w:val="16"/>
        <w:szCs w:val="16"/>
        <w:lang w:val="fr-CH"/>
      </w:rPr>
      <w:t>iprjournal</w:t>
    </w:r>
    <w:r w:rsidR="004B2616" w:rsidRPr="0093725A">
      <w:rPr>
        <w:sz w:val="16"/>
        <w:szCs w:val="16"/>
        <w:lang w:val="fr-CH"/>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39B9" w14:textId="77777777" w:rsidR="004A3259" w:rsidRDefault="004A3259">
      <w:pPr>
        <w:spacing w:line="240" w:lineRule="auto"/>
      </w:pPr>
      <w:r>
        <w:separator/>
      </w:r>
    </w:p>
    <w:p w14:paraId="27524799" w14:textId="77777777" w:rsidR="004A3259" w:rsidRDefault="004A3259"/>
  </w:footnote>
  <w:footnote w:type="continuationSeparator" w:id="0">
    <w:p w14:paraId="5BED7EF3" w14:textId="77777777" w:rsidR="004A3259" w:rsidRDefault="004A3259">
      <w:pPr>
        <w:spacing w:line="240" w:lineRule="auto"/>
      </w:pPr>
      <w:r>
        <w:continuationSeparator/>
      </w:r>
    </w:p>
    <w:p w14:paraId="412C229E" w14:textId="77777777" w:rsidR="004A3259" w:rsidRDefault="004A3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A3B8" w14:textId="2314C8F5" w:rsidR="00AF0FA4" w:rsidRPr="00A2186F" w:rsidRDefault="00EF2BC7"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sidRPr="00EF2BC7">
      <w:rPr>
        <w:i/>
        <w:iCs/>
        <w:sz w:val="16"/>
      </w:rPr>
      <w:t>Intellectual Property Rights Journal</w:t>
    </w:r>
    <w:r w:rsidR="00AF0FA4">
      <w:rPr>
        <w:i/>
        <w:sz w:val="16"/>
      </w:rPr>
      <w:t>,</w:t>
    </w:r>
    <w:r w:rsidR="00AF0FA4" w:rsidRPr="00A2186F">
      <w:rPr>
        <w:i/>
        <w:sz w:val="16"/>
      </w:rPr>
      <w:t xml:space="preserve"> </w:t>
    </w:r>
    <w:r w:rsidR="00AF0FA4" w:rsidRPr="0020128E">
      <w:rPr>
        <w:b/>
        <w:sz w:val="16"/>
      </w:rPr>
      <w:t>202</w:t>
    </w:r>
    <w:r w:rsidR="00211D08">
      <w:rPr>
        <w:b/>
        <w:sz w:val="16"/>
      </w:rPr>
      <w:t>4</w:t>
    </w:r>
    <w:r w:rsidR="00AF0FA4" w:rsidRPr="0020128E">
      <w:rPr>
        <w:sz w:val="16"/>
      </w:rPr>
      <w:t>,</w:t>
    </w:r>
    <w:r w:rsidR="00AF0FA4" w:rsidRPr="0020128E">
      <w:rPr>
        <w:i/>
        <w:sz w:val="16"/>
      </w:rPr>
      <w:t xml:space="preserve"> </w:t>
    </w:r>
    <w:r w:rsidR="00211D08">
      <w:rPr>
        <w:i/>
        <w:sz w:val="16"/>
      </w:rPr>
      <w:t>1</w:t>
    </w:r>
    <w:r>
      <w:rPr>
        <w:sz w:val="16"/>
      </w:rPr>
      <w:t xml:space="preserve"> </w:t>
    </w:r>
    <w:r w:rsidR="00AF0FA4" w:rsidRPr="00A2186F">
      <w:rPr>
        <w:sz w:val="16"/>
      </w:rPr>
      <w:tab/>
    </w:r>
    <w:r w:rsidR="00AF0FA4" w:rsidRPr="00A2186F">
      <w:rPr>
        <w:sz w:val="16"/>
      </w:rPr>
      <w:fldChar w:fldCharType="begin"/>
    </w:r>
    <w:r w:rsidR="00AF0FA4" w:rsidRPr="00A2186F">
      <w:rPr>
        <w:sz w:val="16"/>
      </w:rPr>
      <w:instrText xml:space="preserve"> PAGE   \* MERGEFORMAT </w:instrText>
    </w:r>
    <w:r w:rsidR="00AF0FA4" w:rsidRPr="00A2186F">
      <w:rPr>
        <w:sz w:val="16"/>
      </w:rPr>
      <w:fldChar w:fldCharType="separate"/>
    </w:r>
    <w:r w:rsidR="00AF0FA4">
      <w:rPr>
        <w:sz w:val="16"/>
      </w:rPr>
      <w:t>2</w:t>
    </w:r>
    <w:r w:rsidR="00AF0FA4"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B7B00" w:rsidRDefault="00CB7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1448" w14:textId="30EE8AEF" w:rsidR="003622EA" w:rsidRPr="007A3700" w:rsidRDefault="00CE74F0" w:rsidP="00605E9A">
    <w:pPr>
      <w:tabs>
        <w:tab w:val="right" w:pos="10440"/>
      </w:tabs>
      <w:adjustRightInd w:val="0"/>
      <w:snapToGrid w:val="0"/>
      <w:spacing w:line="240" w:lineRule="auto"/>
      <w:rPr>
        <w:sz w:val="16"/>
      </w:rPr>
    </w:pPr>
    <w:r w:rsidRPr="00EF2BC7">
      <w:rPr>
        <w:i/>
        <w:iCs/>
        <w:sz w:val="16"/>
        <w:szCs w:val="18"/>
      </w:rPr>
      <w:t>Intellectual Property Rights Journal</w:t>
    </w:r>
    <w:r w:rsidR="004B2616" w:rsidRPr="007A3700">
      <w:rPr>
        <w:i/>
        <w:sz w:val="16"/>
        <w:szCs w:val="16"/>
      </w:rPr>
      <w:t xml:space="preserve">. </w:t>
    </w:r>
    <w:r w:rsidR="00AC5A87" w:rsidRPr="007A3700">
      <w:rPr>
        <w:b/>
        <w:sz w:val="16"/>
      </w:rPr>
      <w:t>202</w:t>
    </w:r>
    <w:r>
      <w:rPr>
        <w:b/>
        <w:sz w:val="16"/>
      </w:rPr>
      <w:t>4</w:t>
    </w:r>
    <w:r w:rsidR="006A39A1" w:rsidRPr="007A3700">
      <w:rPr>
        <w:sz w:val="16"/>
      </w:rPr>
      <w:t>,</w:t>
    </w:r>
    <w:r w:rsidR="00AC5A87" w:rsidRPr="007A3700">
      <w:rPr>
        <w:i/>
        <w:sz w:val="16"/>
      </w:rPr>
      <w:t xml:space="preserve"> </w:t>
    </w:r>
    <w:r>
      <w:rPr>
        <w:i/>
        <w:sz w:val="16"/>
      </w:rPr>
      <w:t>1</w:t>
    </w:r>
    <w:r w:rsidR="004E0244" w:rsidRPr="007A3700">
      <w:rPr>
        <w:sz w:val="16"/>
      </w:rPr>
      <w:t>, x FOR PEER REVIEW</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B7B00" w:rsidRDefault="00CB7B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66" w:type="dxa"/>
      <w:tblCellMar>
        <w:left w:w="0" w:type="dxa"/>
        <w:right w:w="0" w:type="dxa"/>
      </w:tblCellMar>
      <w:tblLook w:val="04A0" w:firstRow="1" w:lastRow="0" w:firstColumn="1" w:lastColumn="0" w:noHBand="0" w:noVBand="1"/>
    </w:tblPr>
    <w:tblGrid>
      <w:gridCol w:w="10423"/>
      <w:gridCol w:w="6"/>
      <w:gridCol w:w="37"/>
    </w:tblGrid>
    <w:tr w:rsidR="00224B8C" w:rsidRPr="004C16CA" w14:paraId="0CA5F1EC" w14:textId="77777777" w:rsidTr="00224B8C">
      <w:trPr>
        <w:trHeight w:val="288"/>
      </w:trPr>
      <w:tc>
        <w:tcPr>
          <w:tcW w:w="9206" w:type="dxa"/>
          <w:shd w:val="clear" w:color="auto" w:fill="auto"/>
          <w:vAlign w:val="center"/>
        </w:tcPr>
        <w:tbl>
          <w:tblPr>
            <w:tblW w:w="10415" w:type="dxa"/>
            <w:tblCellMar>
              <w:left w:w="0" w:type="dxa"/>
              <w:right w:w="0" w:type="dxa"/>
            </w:tblCellMar>
            <w:tblLook w:val="04A0" w:firstRow="1" w:lastRow="0" w:firstColumn="1" w:lastColumn="0" w:noHBand="0" w:noVBand="1"/>
          </w:tblPr>
          <w:tblGrid>
            <w:gridCol w:w="10411"/>
            <w:gridCol w:w="6"/>
            <w:gridCol w:w="6"/>
          </w:tblGrid>
          <w:tr w:rsidR="00593ABE" w:rsidRPr="004C16CA" w14:paraId="3E0B1DE3" w14:textId="77777777" w:rsidTr="00DA0434">
            <w:trPr>
              <w:trHeight w:val="288"/>
            </w:trPr>
            <w:tc>
              <w:tcPr>
                <w:tcW w:w="3654" w:type="dxa"/>
                <w:shd w:val="clear" w:color="auto" w:fill="auto"/>
                <w:vAlign w:val="center"/>
              </w:tcPr>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606"/>
                  <w:gridCol w:w="3485"/>
                </w:tblGrid>
                <w:tr w:rsidR="00593ABE" w14:paraId="2451D6EF" w14:textId="77777777" w:rsidTr="00593ABE">
                  <w:tc>
                    <w:tcPr>
                      <w:tcW w:w="4320" w:type="dxa"/>
                      <w:vAlign w:val="center"/>
                    </w:tcPr>
                    <w:p w14:paraId="553EA5B4" w14:textId="4C33A4E2" w:rsidR="00224B8C" w:rsidRPr="001819E1" w:rsidRDefault="00224B8C" w:rsidP="00224B8C">
                      <w:pPr>
                        <w:adjustRightInd w:val="0"/>
                        <w:snapToGrid w:val="0"/>
                        <w:spacing w:line="240" w:lineRule="auto"/>
                        <w:ind w:left="-107"/>
                        <w:jc w:val="left"/>
                        <w:rPr>
                          <w:b/>
                          <w:bCs/>
                        </w:rPr>
                      </w:pPr>
                      <w:r w:rsidRPr="00224B8C">
                        <w:rPr>
                          <w:rFonts w:eastAsia="DengXian"/>
                          <w:b/>
                          <w:bCs/>
                          <w:i/>
                          <w:iCs/>
                          <w:noProof/>
                          <w:sz w:val="24"/>
                          <w:szCs w:val="24"/>
                        </w:rPr>
                        <w:t>Intellectual Property R</w:t>
                      </w:r>
                      <w:r w:rsidR="009B7F54">
                        <w:rPr>
                          <w:rFonts w:eastAsia="DengXian"/>
                          <w:b/>
                          <w:bCs/>
                          <w:i/>
                          <w:iCs/>
                          <w:noProof/>
                          <w:sz w:val="24"/>
                          <w:szCs w:val="24"/>
                        </w:rPr>
                        <w:t>ights Journal</w:t>
                      </w:r>
                    </w:p>
                  </w:tc>
                  <w:tc>
                    <w:tcPr>
                      <w:tcW w:w="2606" w:type="dxa"/>
                      <w:vAlign w:val="center"/>
                    </w:tcPr>
                    <w:p w14:paraId="5F67C25B" w14:textId="77777777" w:rsidR="00224B8C" w:rsidRDefault="00224B8C" w:rsidP="00224B8C">
                      <w:pPr>
                        <w:adjustRightInd w:val="0"/>
                        <w:snapToGrid w:val="0"/>
                        <w:spacing w:line="240" w:lineRule="auto"/>
                        <w:jc w:val="center"/>
                        <w:rPr>
                          <w:b/>
                          <w:bCs/>
                        </w:rPr>
                      </w:pPr>
                    </w:p>
                  </w:tc>
                  <w:tc>
                    <w:tcPr>
                      <w:tcW w:w="3485" w:type="dxa"/>
                      <w:vAlign w:val="center"/>
                    </w:tcPr>
                    <w:p w14:paraId="2A980057" w14:textId="77777777" w:rsidR="00224B8C" w:rsidRDefault="00224B8C" w:rsidP="00224B8C">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4B866BF3" wp14:editId="7EE824FC">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AF53AE" w14:textId="77777777" w:rsidR="00224B8C" w:rsidRPr="00367CE9" w:rsidRDefault="00224B8C" w:rsidP="00224B8C">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B2A37A4" w14:textId="77777777" w:rsidR="00224B8C" w:rsidRPr="00A56049" w:rsidRDefault="00224B8C" w:rsidP="00224B8C">
                <w:pPr>
                  <w:pStyle w:val="Header"/>
                  <w:pBdr>
                    <w:bottom w:val="none" w:sz="0" w:space="0" w:color="auto"/>
                  </w:pBdr>
                  <w:rPr>
                    <w:rFonts w:eastAsia="DengXian"/>
                    <w:b/>
                    <w:bCs/>
                  </w:rPr>
                </w:pPr>
              </w:p>
            </w:tc>
            <w:tc>
              <w:tcPr>
                <w:tcW w:w="2257" w:type="dxa"/>
                <w:shd w:val="clear" w:color="auto" w:fill="auto"/>
                <w:vAlign w:val="center"/>
              </w:tcPr>
              <w:p w14:paraId="2DA56B1E" w14:textId="77777777" w:rsidR="00224B8C" w:rsidRPr="00A56049" w:rsidRDefault="00224B8C" w:rsidP="00224B8C">
                <w:pPr>
                  <w:pStyle w:val="Header"/>
                  <w:pBdr>
                    <w:bottom w:val="none" w:sz="0" w:space="0" w:color="auto"/>
                  </w:pBdr>
                  <w:jc w:val="right"/>
                  <w:rPr>
                    <w:rFonts w:eastAsia="DengXian"/>
                    <w:b/>
                    <w:bCs/>
                  </w:rPr>
                </w:pPr>
              </w:p>
            </w:tc>
          </w:tr>
        </w:tbl>
        <w:p w14:paraId="7DAFCEDB" w14:textId="5A2D63D1" w:rsidR="00224B8C" w:rsidRDefault="00224B8C" w:rsidP="00B2390E">
          <w:pPr>
            <w:pStyle w:val="Header"/>
            <w:pBdr>
              <w:bottom w:val="none" w:sz="0" w:space="0" w:color="auto"/>
            </w:pBdr>
            <w:jc w:val="left"/>
            <w:rPr>
              <w:rFonts w:eastAsia="DengXian"/>
              <w:b/>
              <w:bCs/>
              <w:i/>
              <w:iCs/>
              <w:noProof/>
              <w:sz w:val="24"/>
              <w:szCs w:val="24"/>
            </w:rPr>
          </w:pPr>
        </w:p>
      </w:tc>
      <w:tc>
        <w:tcPr>
          <w:tcW w:w="5" w:type="dxa"/>
          <w:shd w:val="clear" w:color="auto" w:fill="auto"/>
          <w:vAlign w:val="center"/>
        </w:tcPr>
        <w:p w14:paraId="5C9FB40C" w14:textId="77777777" w:rsidR="00224B8C" w:rsidRPr="00A56049" w:rsidRDefault="00224B8C" w:rsidP="00B2390E">
          <w:pPr>
            <w:pStyle w:val="Header"/>
            <w:pBdr>
              <w:bottom w:val="none" w:sz="0" w:space="0" w:color="auto"/>
            </w:pBdr>
            <w:rPr>
              <w:rFonts w:eastAsia="DengXian"/>
              <w:b/>
              <w:bCs/>
            </w:rPr>
          </w:pPr>
        </w:p>
      </w:tc>
      <w:tc>
        <w:tcPr>
          <w:tcW w:w="1255" w:type="dxa"/>
          <w:shd w:val="clear" w:color="auto" w:fill="auto"/>
          <w:vAlign w:val="center"/>
        </w:tcPr>
        <w:p w14:paraId="75CB2060" w14:textId="77777777" w:rsidR="00224B8C" w:rsidRPr="008D3B5D" w:rsidRDefault="00224B8C" w:rsidP="00B2390E">
          <w:pPr>
            <w:pStyle w:val="Header"/>
            <w:pBdr>
              <w:bottom w:val="none" w:sz="0" w:space="0" w:color="auto"/>
            </w:pBdr>
            <w:jc w:val="right"/>
            <w:rPr>
              <w:i/>
              <w:noProof/>
              <w:szCs w:val="20"/>
              <w:u w:val="single"/>
            </w:rPr>
          </w:pPr>
        </w:p>
      </w:tc>
    </w:tr>
  </w:tbl>
  <w:p w14:paraId="107861BD" w14:textId="5AD922CC"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IPR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IPR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0C6F5D"/>
    <w:multiLevelType w:val="hybridMultilevel"/>
    <w:tmpl w:val="79204E82"/>
    <w:lvl w:ilvl="0" w:tplc="C166F076">
      <w:start w:val="1"/>
      <w:numFmt w:val="decimal"/>
      <w:lvlRestart w:val="0"/>
      <w:pStyle w:val="IPR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CCA"/>
    <w:multiLevelType w:val="hybridMultilevel"/>
    <w:tmpl w:val="A90CD066"/>
    <w:lvl w:ilvl="0" w:tplc="EA86B4E8">
      <w:start w:val="1"/>
      <w:numFmt w:val="bullet"/>
      <w:lvlRestart w:val="0"/>
      <w:pStyle w:val="IPR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0"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6" w15:restartNumberingAfterBreak="0">
    <w:nsid w:val="6FC107A4"/>
    <w:multiLevelType w:val="hybridMultilevel"/>
    <w:tmpl w:val="CF40487E"/>
    <w:lvl w:ilvl="0" w:tplc="839A10E2">
      <w:start w:val="1"/>
      <w:numFmt w:val="decimal"/>
      <w:pStyle w:val="IPR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9"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4"/>
  </w:num>
  <w:num w:numId="2" w16cid:durableId="1906915878">
    <w:abstractNumId w:val="18"/>
  </w:num>
  <w:num w:numId="3" w16cid:durableId="441532349">
    <w:abstractNumId w:val="12"/>
  </w:num>
  <w:num w:numId="4" w16cid:durableId="1937590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6"/>
  </w:num>
  <w:num w:numId="6" w16cid:durableId="347680448">
    <w:abstractNumId w:val="23"/>
  </w:num>
  <w:num w:numId="7" w16cid:durableId="127600208">
    <w:abstractNumId w:val="9"/>
  </w:num>
  <w:num w:numId="8" w16cid:durableId="390036912">
    <w:abstractNumId w:val="23"/>
  </w:num>
  <w:num w:numId="9" w16cid:durableId="1993026668">
    <w:abstractNumId w:val="9"/>
  </w:num>
  <w:num w:numId="10" w16cid:durableId="146287775">
    <w:abstractNumId w:val="23"/>
  </w:num>
  <w:num w:numId="11" w16cid:durableId="89589244">
    <w:abstractNumId w:val="9"/>
  </w:num>
  <w:num w:numId="12" w16cid:durableId="1584753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7"/>
  </w:num>
  <w:num w:numId="14" w16cid:durableId="1311059559">
    <w:abstractNumId w:val="23"/>
  </w:num>
  <w:num w:numId="15" w16cid:durableId="152642898">
    <w:abstractNumId w:val="9"/>
  </w:num>
  <w:num w:numId="16" w16cid:durableId="16995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9"/>
  </w:num>
  <w:num w:numId="18" w16cid:durableId="4882560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2"/>
  </w:num>
  <w:num w:numId="21" w16cid:durableId="317654050">
    <w:abstractNumId w:val="4"/>
  </w:num>
  <w:num w:numId="22" w16cid:durableId="1628705661">
    <w:abstractNumId w:val="23"/>
  </w:num>
  <w:num w:numId="23" w16cid:durableId="1504130093">
    <w:abstractNumId w:val="9"/>
  </w:num>
  <w:num w:numId="24" w16cid:durableId="1140075001">
    <w:abstractNumId w:val="7"/>
  </w:num>
  <w:num w:numId="25" w16cid:durableId="1620181198">
    <w:abstractNumId w:val="17"/>
  </w:num>
  <w:num w:numId="26" w16cid:durableId="848757337">
    <w:abstractNumId w:val="4"/>
  </w:num>
  <w:num w:numId="27" w16cid:durableId="814954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5"/>
  </w:num>
  <w:num w:numId="30" w16cid:durableId="1864006082">
    <w:abstractNumId w:val="28"/>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0"/>
  </w:num>
  <w:num w:numId="34" w16cid:durableId="1951082741">
    <w:abstractNumId w:val="0"/>
  </w:num>
  <w:num w:numId="35" w16cid:durableId="1437485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29"/>
  </w:num>
  <w:num w:numId="40" w16cid:durableId="1749419582">
    <w:abstractNumId w:val="21"/>
  </w:num>
  <w:num w:numId="41" w16cid:durableId="1596668921">
    <w:abstractNumId w:val="19"/>
  </w:num>
  <w:num w:numId="42" w16cid:durableId="974994573">
    <w:abstractNumId w:val="11"/>
  </w:num>
  <w:num w:numId="43" w16cid:durableId="645402729">
    <w:abstractNumId w:val="20"/>
  </w:num>
  <w:num w:numId="44" w16cid:durableId="271864483">
    <w:abstractNumId w:val="26"/>
  </w:num>
  <w:num w:numId="45" w16cid:durableId="1615671943">
    <w:abstractNumId w:val="26"/>
  </w:num>
  <w:num w:numId="46" w16cid:durableId="417870730">
    <w:abstractNumId w:val="17"/>
  </w:num>
  <w:num w:numId="47" w16cid:durableId="435829106">
    <w:abstractNumId w:val="17"/>
  </w:num>
  <w:num w:numId="48" w16cid:durableId="850024245">
    <w:abstractNumId w:val="6"/>
  </w:num>
  <w:num w:numId="49" w16cid:durableId="8743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22E4"/>
    <w:rsid w:val="00044B4D"/>
    <w:rsid w:val="00046260"/>
    <w:rsid w:val="000463B5"/>
    <w:rsid w:val="00054AE5"/>
    <w:rsid w:val="00060142"/>
    <w:rsid w:val="00063F83"/>
    <w:rsid w:val="00064C15"/>
    <w:rsid w:val="000651F2"/>
    <w:rsid w:val="00070943"/>
    <w:rsid w:val="00071D18"/>
    <w:rsid w:val="00073C2A"/>
    <w:rsid w:val="00075057"/>
    <w:rsid w:val="00075679"/>
    <w:rsid w:val="00077DB2"/>
    <w:rsid w:val="000813A3"/>
    <w:rsid w:val="00085D3E"/>
    <w:rsid w:val="00087C0F"/>
    <w:rsid w:val="00095E43"/>
    <w:rsid w:val="000A0366"/>
    <w:rsid w:val="000A0CBF"/>
    <w:rsid w:val="000A4D71"/>
    <w:rsid w:val="000A5EE8"/>
    <w:rsid w:val="000B010D"/>
    <w:rsid w:val="000B037A"/>
    <w:rsid w:val="000C012B"/>
    <w:rsid w:val="000C0B21"/>
    <w:rsid w:val="000C266C"/>
    <w:rsid w:val="000C6A1C"/>
    <w:rsid w:val="000C71BA"/>
    <w:rsid w:val="000C79B6"/>
    <w:rsid w:val="000D1350"/>
    <w:rsid w:val="000D3D64"/>
    <w:rsid w:val="000D575E"/>
    <w:rsid w:val="000E006E"/>
    <w:rsid w:val="000E3D67"/>
    <w:rsid w:val="000E5ED6"/>
    <w:rsid w:val="000E66CA"/>
    <w:rsid w:val="000E7E89"/>
    <w:rsid w:val="000F1606"/>
    <w:rsid w:val="000F2B42"/>
    <w:rsid w:val="000F3F55"/>
    <w:rsid w:val="000F4C2F"/>
    <w:rsid w:val="000F60B2"/>
    <w:rsid w:val="000F6F36"/>
    <w:rsid w:val="0010441A"/>
    <w:rsid w:val="00110854"/>
    <w:rsid w:val="001129C1"/>
    <w:rsid w:val="00116D80"/>
    <w:rsid w:val="001312F3"/>
    <w:rsid w:val="00135963"/>
    <w:rsid w:val="0013753A"/>
    <w:rsid w:val="00140A9D"/>
    <w:rsid w:val="0015225A"/>
    <w:rsid w:val="00152CE4"/>
    <w:rsid w:val="00155CCB"/>
    <w:rsid w:val="001576FD"/>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2B28"/>
    <w:rsid w:val="001B55BF"/>
    <w:rsid w:val="001B7DA7"/>
    <w:rsid w:val="001C024C"/>
    <w:rsid w:val="001C0D1A"/>
    <w:rsid w:val="001C0F22"/>
    <w:rsid w:val="001C343E"/>
    <w:rsid w:val="001C4E67"/>
    <w:rsid w:val="001C520F"/>
    <w:rsid w:val="001D0D0E"/>
    <w:rsid w:val="001D4425"/>
    <w:rsid w:val="001D5EF2"/>
    <w:rsid w:val="001D66FC"/>
    <w:rsid w:val="001D6BAF"/>
    <w:rsid w:val="001E085C"/>
    <w:rsid w:val="001E2AEB"/>
    <w:rsid w:val="001E59F7"/>
    <w:rsid w:val="001F176A"/>
    <w:rsid w:val="001F42D6"/>
    <w:rsid w:val="001F45C9"/>
    <w:rsid w:val="001F47C5"/>
    <w:rsid w:val="00200637"/>
    <w:rsid w:val="00202EDF"/>
    <w:rsid w:val="0020395C"/>
    <w:rsid w:val="00207FF9"/>
    <w:rsid w:val="002116C5"/>
    <w:rsid w:val="00211D08"/>
    <w:rsid w:val="00221157"/>
    <w:rsid w:val="00221E91"/>
    <w:rsid w:val="00224B8C"/>
    <w:rsid w:val="00225DD9"/>
    <w:rsid w:val="002274C5"/>
    <w:rsid w:val="002306E2"/>
    <w:rsid w:val="00236589"/>
    <w:rsid w:val="0023793B"/>
    <w:rsid w:val="00237D2A"/>
    <w:rsid w:val="002413D2"/>
    <w:rsid w:val="00243120"/>
    <w:rsid w:val="00247ED3"/>
    <w:rsid w:val="00252783"/>
    <w:rsid w:val="00252994"/>
    <w:rsid w:val="00252F40"/>
    <w:rsid w:val="002540F5"/>
    <w:rsid w:val="002579D2"/>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A6F4A"/>
    <w:rsid w:val="002B4FD2"/>
    <w:rsid w:val="002C3192"/>
    <w:rsid w:val="002C3FEA"/>
    <w:rsid w:val="002C4AE8"/>
    <w:rsid w:val="002C4C53"/>
    <w:rsid w:val="002C4E52"/>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B0F"/>
    <w:rsid w:val="00367CE9"/>
    <w:rsid w:val="00370F21"/>
    <w:rsid w:val="00372382"/>
    <w:rsid w:val="0037469F"/>
    <w:rsid w:val="00374C58"/>
    <w:rsid w:val="00380BBA"/>
    <w:rsid w:val="00380C63"/>
    <w:rsid w:val="00385A61"/>
    <w:rsid w:val="00385AF0"/>
    <w:rsid w:val="003907A8"/>
    <w:rsid w:val="00393603"/>
    <w:rsid w:val="003B6042"/>
    <w:rsid w:val="003C53EA"/>
    <w:rsid w:val="003C55BC"/>
    <w:rsid w:val="003C6C2A"/>
    <w:rsid w:val="003D2F36"/>
    <w:rsid w:val="003E46BB"/>
    <w:rsid w:val="003E4F43"/>
    <w:rsid w:val="003E67A7"/>
    <w:rsid w:val="003F2108"/>
    <w:rsid w:val="003F2615"/>
    <w:rsid w:val="003F465A"/>
    <w:rsid w:val="003F5C48"/>
    <w:rsid w:val="003F6E15"/>
    <w:rsid w:val="00401D30"/>
    <w:rsid w:val="004043AC"/>
    <w:rsid w:val="00405284"/>
    <w:rsid w:val="00425533"/>
    <w:rsid w:val="00431C50"/>
    <w:rsid w:val="00431F2C"/>
    <w:rsid w:val="00432363"/>
    <w:rsid w:val="00440D6B"/>
    <w:rsid w:val="00442D48"/>
    <w:rsid w:val="004435E6"/>
    <w:rsid w:val="004461DB"/>
    <w:rsid w:val="00456F1F"/>
    <w:rsid w:val="00461F2F"/>
    <w:rsid w:val="004648B9"/>
    <w:rsid w:val="00465CFF"/>
    <w:rsid w:val="00470024"/>
    <w:rsid w:val="00473386"/>
    <w:rsid w:val="004752D8"/>
    <w:rsid w:val="00475CB9"/>
    <w:rsid w:val="004772EA"/>
    <w:rsid w:val="004838C1"/>
    <w:rsid w:val="00483C86"/>
    <w:rsid w:val="0048761B"/>
    <w:rsid w:val="00491CF7"/>
    <w:rsid w:val="00492B8F"/>
    <w:rsid w:val="004A1BC8"/>
    <w:rsid w:val="004A2B31"/>
    <w:rsid w:val="004A2C90"/>
    <w:rsid w:val="004A3259"/>
    <w:rsid w:val="004A61C2"/>
    <w:rsid w:val="004B03A7"/>
    <w:rsid w:val="004B0FFF"/>
    <w:rsid w:val="004B2616"/>
    <w:rsid w:val="004B2DCA"/>
    <w:rsid w:val="004B4C81"/>
    <w:rsid w:val="004B5E34"/>
    <w:rsid w:val="004C16CA"/>
    <w:rsid w:val="004C6822"/>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0F19"/>
    <w:rsid w:val="00561ACD"/>
    <w:rsid w:val="00561E48"/>
    <w:rsid w:val="00566967"/>
    <w:rsid w:val="00570FA4"/>
    <w:rsid w:val="00574B38"/>
    <w:rsid w:val="00575197"/>
    <w:rsid w:val="00575D7A"/>
    <w:rsid w:val="00575F1C"/>
    <w:rsid w:val="00577F9E"/>
    <w:rsid w:val="005809E2"/>
    <w:rsid w:val="005814F1"/>
    <w:rsid w:val="00583DE8"/>
    <w:rsid w:val="00584217"/>
    <w:rsid w:val="0058470F"/>
    <w:rsid w:val="00584F7A"/>
    <w:rsid w:val="00585634"/>
    <w:rsid w:val="00590C83"/>
    <w:rsid w:val="0059226D"/>
    <w:rsid w:val="00593ABE"/>
    <w:rsid w:val="0059456E"/>
    <w:rsid w:val="00594BE0"/>
    <w:rsid w:val="00594DAF"/>
    <w:rsid w:val="005A05E1"/>
    <w:rsid w:val="005A11F6"/>
    <w:rsid w:val="005A1CD0"/>
    <w:rsid w:val="005A346F"/>
    <w:rsid w:val="005A49D9"/>
    <w:rsid w:val="005A7110"/>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3704"/>
    <w:rsid w:val="006656BE"/>
    <w:rsid w:val="0066583C"/>
    <w:rsid w:val="006658B7"/>
    <w:rsid w:val="006670DE"/>
    <w:rsid w:val="00670ABC"/>
    <w:rsid w:val="00671057"/>
    <w:rsid w:val="0067190D"/>
    <w:rsid w:val="00671ACE"/>
    <w:rsid w:val="00692393"/>
    <w:rsid w:val="00695F9F"/>
    <w:rsid w:val="0069613B"/>
    <w:rsid w:val="006A02FE"/>
    <w:rsid w:val="006A29A1"/>
    <w:rsid w:val="006A39A1"/>
    <w:rsid w:val="006A6DB5"/>
    <w:rsid w:val="006B2544"/>
    <w:rsid w:val="006B3047"/>
    <w:rsid w:val="006B4A89"/>
    <w:rsid w:val="006B4C97"/>
    <w:rsid w:val="006B71BC"/>
    <w:rsid w:val="006B7ABB"/>
    <w:rsid w:val="006C25CE"/>
    <w:rsid w:val="006C28EC"/>
    <w:rsid w:val="006C4A96"/>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E99"/>
    <w:rsid w:val="00711B60"/>
    <w:rsid w:val="00716576"/>
    <w:rsid w:val="00726867"/>
    <w:rsid w:val="00731E7D"/>
    <w:rsid w:val="007333B4"/>
    <w:rsid w:val="00736143"/>
    <w:rsid w:val="0073764D"/>
    <w:rsid w:val="007425CE"/>
    <w:rsid w:val="00746968"/>
    <w:rsid w:val="00752460"/>
    <w:rsid w:val="007529AC"/>
    <w:rsid w:val="00761B0C"/>
    <w:rsid w:val="00763D76"/>
    <w:rsid w:val="00765CFB"/>
    <w:rsid w:val="00766D4C"/>
    <w:rsid w:val="00767837"/>
    <w:rsid w:val="00770E7D"/>
    <w:rsid w:val="00771DD5"/>
    <w:rsid w:val="0077200B"/>
    <w:rsid w:val="00772CE7"/>
    <w:rsid w:val="00782894"/>
    <w:rsid w:val="00785E9D"/>
    <w:rsid w:val="007918E4"/>
    <w:rsid w:val="00791ACD"/>
    <w:rsid w:val="007A3700"/>
    <w:rsid w:val="007A75F0"/>
    <w:rsid w:val="007A7A81"/>
    <w:rsid w:val="007B1B8B"/>
    <w:rsid w:val="007B473D"/>
    <w:rsid w:val="007C2DC4"/>
    <w:rsid w:val="007C3400"/>
    <w:rsid w:val="007C7EB3"/>
    <w:rsid w:val="007D08B8"/>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203E"/>
    <w:rsid w:val="00877C8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7992"/>
    <w:rsid w:val="00910C9B"/>
    <w:rsid w:val="00917A98"/>
    <w:rsid w:val="00924157"/>
    <w:rsid w:val="00930FCC"/>
    <w:rsid w:val="00931C63"/>
    <w:rsid w:val="0093725A"/>
    <w:rsid w:val="009413E3"/>
    <w:rsid w:val="009463BF"/>
    <w:rsid w:val="00946C71"/>
    <w:rsid w:val="00951CAC"/>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2D96"/>
    <w:rsid w:val="00997612"/>
    <w:rsid w:val="009B1B8D"/>
    <w:rsid w:val="009B3D1E"/>
    <w:rsid w:val="009B62E6"/>
    <w:rsid w:val="009B7B01"/>
    <w:rsid w:val="009B7F54"/>
    <w:rsid w:val="009C65C1"/>
    <w:rsid w:val="009C79B4"/>
    <w:rsid w:val="009D0461"/>
    <w:rsid w:val="009D0C42"/>
    <w:rsid w:val="009E4E30"/>
    <w:rsid w:val="009F6A7D"/>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BA8"/>
    <w:rsid w:val="00A461F1"/>
    <w:rsid w:val="00A56049"/>
    <w:rsid w:val="00A570ED"/>
    <w:rsid w:val="00A61D61"/>
    <w:rsid w:val="00A77521"/>
    <w:rsid w:val="00A77A55"/>
    <w:rsid w:val="00A8058C"/>
    <w:rsid w:val="00A81B6E"/>
    <w:rsid w:val="00A91270"/>
    <w:rsid w:val="00A92C44"/>
    <w:rsid w:val="00A9570D"/>
    <w:rsid w:val="00A95FFC"/>
    <w:rsid w:val="00AA083D"/>
    <w:rsid w:val="00AA359D"/>
    <w:rsid w:val="00AA3D58"/>
    <w:rsid w:val="00AA6151"/>
    <w:rsid w:val="00AB0672"/>
    <w:rsid w:val="00AB22D3"/>
    <w:rsid w:val="00AB6126"/>
    <w:rsid w:val="00AB639F"/>
    <w:rsid w:val="00AB6590"/>
    <w:rsid w:val="00AC1EA4"/>
    <w:rsid w:val="00AC473B"/>
    <w:rsid w:val="00AC5A87"/>
    <w:rsid w:val="00AC79C6"/>
    <w:rsid w:val="00AD0F5A"/>
    <w:rsid w:val="00AD3BF2"/>
    <w:rsid w:val="00AD701B"/>
    <w:rsid w:val="00AE0685"/>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2578"/>
    <w:rsid w:val="00B806F6"/>
    <w:rsid w:val="00B809ED"/>
    <w:rsid w:val="00B810B9"/>
    <w:rsid w:val="00B83B3B"/>
    <w:rsid w:val="00B853CA"/>
    <w:rsid w:val="00B853E6"/>
    <w:rsid w:val="00B861C7"/>
    <w:rsid w:val="00B91566"/>
    <w:rsid w:val="00B9158B"/>
    <w:rsid w:val="00B953C7"/>
    <w:rsid w:val="00B965C5"/>
    <w:rsid w:val="00BA00C9"/>
    <w:rsid w:val="00BA0D26"/>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5BA1"/>
    <w:rsid w:val="00C160EB"/>
    <w:rsid w:val="00C20890"/>
    <w:rsid w:val="00C22456"/>
    <w:rsid w:val="00C22524"/>
    <w:rsid w:val="00C23A47"/>
    <w:rsid w:val="00C27132"/>
    <w:rsid w:val="00C30323"/>
    <w:rsid w:val="00C30BA0"/>
    <w:rsid w:val="00C322BD"/>
    <w:rsid w:val="00C32B9C"/>
    <w:rsid w:val="00C37ABA"/>
    <w:rsid w:val="00C40586"/>
    <w:rsid w:val="00C45C7A"/>
    <w:rsid w:val="00C46E28"/>
    <w:rsid w:val="00C50FC4"/>
    <w:rsid w:val="00C53E02"/>
    <w:rsid w:val="00C56CDE"/>
    <w:rsid w:val="00C63BFC"/>
    <w:rsid w:val="00C65340"/>
    <w:rsid w:val="00C653DF"/>
    <w:rsid w:val="00C7009F"/>
    <w:rsid w:val="00C76B26"/>
    <w:rsid w:val="00C77A54"/>
    <w:rsid w:val="00C82873"/>
    <w:rsid w:val="00C92EE1"/>
    <w:rsid w:val="00C956E7"/>
    <w:rsid w:val="00CA3C1D"/>
    <w:rsid w:val="00CA5107"/>
    <w:rsid w:val="00CB2383"/>
    <w:rsid w:val="00CB33FB"/>
    <w:rsid w:val="00CB5F23"/>
    <w:rsid w:val="00CB74F1"/>
    <w:rsid w:val="00CB7B00"/>
    <w:rsid w:val="00CC11AF"/>
    <w:rsid w:val="00CC369A"/>
    <w:rsid w:val="00CC3A20"/>
    <w:rsid w:val="00CC5A5B"/>
    <w:rsid w:val="00CD053F"/>
    <w:rsid w:val="00CD4623"/>
    <w:rsid w:val="00CD6104"/>
    <w:rsid w:val="00CD7B36"/>
    <w:rsid w:val="00CE2C20"/>
    <w:rsid w:val="00CE32F5"/>
    <w:rsid w:val="00CE74F0"/>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2BB2"/>
    <w:rsid w:val="00DA7C8F"/>
    <w:rsid w:val="00DB1099"/>
    <w:rsid w:val="00DB11CD"/>
    <w:rsid w:val="00DB4BE8"/>
    <w:rsid w:val="00DD1663"/>
    <w:rsid w:val="00DD1E30"/>
    <w:rsid w:val="00DD6507"/>
    <w:rsid w:val="00DD663A"/>
    <w:rsid w:val="00DE1F0E"/>
    <w:rsid w:val="00DE23BA"/>
    <w:rsid w:val="00DE4BFE"/>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2BC7"/>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4774B"/>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4AEE"/>
    <w:rsid w:val="00FC6D10"/>
    <w:rsid w:val="00FC6D20"/>
    <w:rsid w:val="00FD0D1C"/>
    <w:rsid w:val="00FD1EEA"/>
    <w:rsid w:val="00FD7354"/>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R11articletype">
    <w:name w:val="IPR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IPR12title">
    <w:name w:val="IPR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IPR13authornames">
    <w:name w:val="IPR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IPR14history">
    <w:name w:val="IPR_1.4_history"/>
    <w:basedOn w:val="Normal"/>
    <w:next w:val="Normal"/>
    <w:qFormat/>
    <w:rsid w:val="00C04138"/>
    <w:pPr>
      <w:adjustRightInd w:val="0"/>
      <w:snapToGrid w:val="0"/>
      <w:spacing w:line="240" w:lineRule="atLeast"/>
      <w:ind w:right="113"/>
      <w:jc w:val="left"/>
    </w:pPr>
    <w:rPr>
      <w:rFonts w:eastAsia="Times New Roman"/>
      <w:sz w:val="14"/>
      <w:lang w:eastAsia="de-DE" w:bidi="en-US"/>
    </w:rPr>
  </w:style>
  <w:style w:type="paragraph" w:customStyle="1" w:styleId="IPR16affiliation">
    <w:name w:val="IPR_1.6_affiliation"/>
    <w:autoRedefine/>
    <w:qFormat/>
    <w:rsid w:val="000463B5"/>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IPR17abstract">
    <w:name w:val="IPR_1.7_abstract"/>
    <w:next w:val="Normal"/>
    <w:autoRedefine/>
    <w:qFormat/>
    <w:rsid w:val="007A7A81"/>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IPR18keywords">
    <w:name w:val="IPR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IPR19line">
    <w:name w:val="IPR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IPRauthorcorrespondence">
    <w:name w:val="IPR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IPRheaderjournallogo">
    <w:name w:val="IPR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IPRtextnoindent">
    <w:name w:val="IPR_text_no_indent"/>
    <w:basedOn w:val="IPR31Firstpagetext"/>
    <w:qFormat/>
    <w:rsid w:val="00B6017C"/>
    <w:pPr>
      <w:ind w:left="0"/>
    </w:pPr>
  </w:style>
  <w:style w:type="paragraph" w:customStyle="1" w:styleId="IPR31Firstpagetext">
    <w:name w:val="IPR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IPR32textsecondpagetextafterheading">
    <w:name w:val="IPR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4textspacebefore">
    <w:name w:val="IPR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5textbeforelist">
    <w:name w:val="IPR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6textafterlist">
    <w:name w:val="IPR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7itemize">
    <w:name w:val="IPR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IPR38bullet">
    <w:name w:val="IPR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IPR31text">
    <w:name w:val="IPR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41tablecaption">
    <w:name w:val="IPR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IPR42tablebody">
    <w:name w:val="IPR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IPR43tablefooter">
    <w:name w:val="IPR_4.3_table_footer"/>
    <w:next w:val="IPR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IPR51figurecaption">
    <w:name w:val="IPR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IPR52figure">
    <w:name w:val="IPR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IPR23heading3">
    <w:name w:val="IPR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IPR21heading1">
    <w:name w:val="IPR_2.1_heading1"/>
    <w:autoRedefine/>
    <w:qFormat/>
    <w:rsid w:val="00F53EE2"/>
    <w:pPr>
      <w:numPr>
        <w:numId w:val="44"/>
      </w:numPr>
      <w:adjustRightInd w:val="0"/>
      <w:snapToGrid w:val="0"/>
      <w:spacing w:before="240" w:after="120" w:line="228" w:lineRule="auto"/>
      <w:outlineLvl w:val="0"/>
    </w:pPr>
    <w:rPr>
      <w:rFonts w:ascii="Times New Roman" w:eastAsia="Times New Roman" w:hAnsi="Times New Roman"/>
      <w:b/>
      <w:snapToGrid w:val="0"/>
      <w:color w:val="000000"/>
      <w:szCs w:val="22"/>
      <w:lang w:eastAsia="de-DE" w:bidi="en-US"/>
    </w:rPr>
  </w:style>
  <w:style w:type="paragraph" w:customStyle="1" w:styleId="IPR22heading2">
    <w:name w:val="IPR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IPR71References">
    <w:name w:val="IPR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PR61Citation">
    <w:name w:val="IPR_6.1_Citation"/>
    <w:qFormat/>
    <w:rsid w:val="00992D96"/>
    <w:pPr>
      <w:adjustRightInd w:val="0"/>
      <w:snapToGrid w:val="0"/>
      <w:spacing w:line="240" w:lineRule="atLeast"/>
    </w:pPr>
    <w:rPr>
      <w:rFonts w:ascii="Times New Roman" w:hAnsi="Times New Roman" w:cs="Cordia New"/>
      <w:sz w:val="14"/>
      <w:szCs w:val="22"/>
    </w:rPr>
  </w:style>
  <w:style w:type="paragraph" w:customStyle="1" w:styleId="IPR62BackMatter">
    <w:name w:val="IPR_6.2_BackMatter"/>
    <w:qFormat/>
    <w:rsid w:val="00BA0D26"/>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IPR63Notes">
    <w:name w:val="IPR_6.3_Notes"/>
    <w:qFormat/>
    <w:rsid w:val="001B2B28"/>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IPR15academiceditor">
    <w:name w:val="IPR_1.5_academic_editor"/>
    <w:qFormat/>
    <w:rsid w:val="00AA359D"/>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IPR19classification">
    <w:name w:val="IPR_1.9_classification"/>
    <w:qFormat/>
    <w:rsid w:val="00AA359D"/>
    <w:pPr>
      <w:spacing w:before="240" w:line="260" w:lineRule="atLeast"/>
      <w:jc w:val="both"/>
    </w:pPr>
    <w:rPr>
      <w:rFonts w:ascii="Times New Roman" w:eastAsia="Times New Roman" w:hAnsi="Times New Roman"/>
      <w:b/>
      <w:color w:val="000000"/>
      <w:szCs w:val="22"/>
      <w:lang w:eastAsia="de-DE" w:bidi="en-US"/>
    </w:rPr>
  </w:style>
  <w:style w:type="paragraph" w:customStyle="1" w:styleId="IPR411onetablecaption">
    <w:name w:val="IPR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IPR511onefigurecaption">
    <w:name w:val="IPR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IPR72Copyright">
    <w:name w:val="IPR_7.2_Copyright"/>
    <w:qFormat/>
    <w:rsid w:val="00AE0685"/>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IPR73CopyrightImage">
    <w:name w:val="IPR_7.3_CopyrightImage"/>
    <w:rsid w:val="00763D76"/>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IPRfooter">
    <w:name w:val="IPR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IPRfooterfirstpage">
    <w:name w:val="IPR_footer_firstpage"/>
    <w:qFormat/>
    <w:rsid w:val="00560F19"/>
    <w:pPr>
      <w:tabs>
        <w:tab w:val="right" w:pos="8845"/>
      </w:tabs>
      <w:spacing w:line="160" w:lineRule="exact"/>
    </w:pPr>
    <w:rPr>
      <w:rFonts w:ascii="Times New Roman" w:eastAsia="Times New Roman" w:hAnsi="Times New Roman"/>
      <w:color w:val="000000"/>
      <w:sz w:val="16"/>
      <w:lang w:eastAsia="de-DE"/>
    </w:rPr>
  </w:style>
  <w:style w:type="paragraph" w:customStyle="1" w:styleId="IPRheader">
    <w:name w:val="IPR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IPRheadercitation">
    <w:name w:val="IPR_header_citation"/>
    <w:rsid w:val="00763D76"/>
    <w:pPr>
      <w:spacing w:after="240"/>
    </w:pPr>
    <w:rPr>
      <w:rFonts w:ascii="Times New Roman" w:eastAsia="Times New Roman" w:hAnsi="Times New Roman"/>
      <w:snapToGrid w:val="0"/>
      <w:color w:val="000000"/>
      <w:sz w:val="18"/>
      <w:lang w:eastAsia="de-DE" w:bidi="en-US"/>
    </w:rPr>
  </w:style>
  <w:style w:type="paragraph" w:customStyle="1" w:styleId="IPRheaderLRAlogo">
    <w:name w:val="IPR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IPRtext">
    <w:name w:val="IPR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IPRtitle">
    <w:name w:val="IPR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IPR71FootNotes">
    <w:name w:val="IPR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Template>
  <TotalTime>14</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Muhammad Zia ul Haq dr</cp:lastModifiedBy>
  <cp:revision>21</cp:revision>
  <dcterms:created xsi:type="dcterms:W3CDTF">2024-12-09T09:13:00Z</dcterms:created>
  <dcterms:modified xsi:type="dcterms:W3CDTF">2024-12-09T09:33:00Z</dcterms:modified>
</cp:coreProperties>
</file>